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F9E6C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福建省教育科学规划教育考试招生</w:t>
      </w:r>
    </w:p>
    <w:p w14:paraId="4A46181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重点专项课题指南（202</w:t>
      </w:r>
      <w:r>
        <w:rPr>
          <w:rFonts w:ascii="方正小标宋简体" w:hAnsi="方正小标宋简体" w:eastAsia="方正小标宋简体" w:cs="方正小标宋简体"/>
          <w:color w:val="auto"/>
          <w:sz w:val="44"/>
          <w:szCs w:val="44"/>
        </w:rPr>
        <w:t>4</w:t>
      </w:r>
      <w:r>
        <w:rPr>
          <w:rFonts w:hint="eastAsia" w:ascii="方正小标宋简体" w:hAnsi="方正小标宋简体" w:eastAsia="方正小标宋简体" w:cs="方正小标宋简体"/>
          <w:color w:val="auto"/>
          <w:sz w:val="44"/>
          <w:szCs w:val="44"/>
        </w:rPr>
        <w:t>年）</w:t>
      </w:r>
    </w:p>
    <w:p w14:paraId="6EA3B81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auto"/>
          <w:sz w:val="32"/>
          <w:szCs w:val="32"/>
          <w:lang w:val="en-US" w:eastAsia="zh-CN"/>
        </w:rPr>
      </w:pPr>
    </w:p>
    <w:p w14:paraId="484E83D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一、数字化背景下的未来教育考试</w:t>
      </w:r>
    </w:p>
    <w:p w14:paraId="037EA55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_GB2312" w:hAnsi="仿宋_GB2312" w:eastAsia="仿宋_GB2312" w:cs="仿宋_GB2312"/>
          <w:color w:val="auto"/>
          <w:kern w:val="0"/>
          <w:sz w:val="32"/>
          <w:szCs w:val="32"/>
          <w:lang w:val="en-US" w:eastAsia="zh-CN" w:bidi="zh-TW"/>
        </w:rPr>
      </w:pPr>
      <w:r>
        <w:rPr>
          <w:rFonts w:hint="eastAsia" w:ascii="仿宋_GB2312" w:hAnsi="仿宋_GB2312" w:eastAsia="仿宋_GB2312" w:cs="仿宋_GB2312"/>
          <w:color w:val="auto"/>
          <w:kern w:val="0"/>
          <w:sz w:val="32"/>
          <w:szCs w:val="32"/>
          <w:lang w:val="en-US" w:eastAsia="zh-CN" w:bidi="zh-TW"/>
        </w:rPr>
        <w:t>1.</w:t>
      </w:r>
      <w:r>
        <w:rPr>
          <w:rFonts w:hint="default" w:ascii="仿宋_GB2312" w:hAnsi="仿宋_GB2312" w:eastAsia="仿宋_GB2312" w:cs="仿宋_GB2312"/>
          <w:color w:val="auto"/>
          <w:kern w:val="0"/>
          <w:sz w:val="32"/>
          <w:szCs w:val="32"/>
          <w:lang w:val="en-US" w:eastAsia="zh-CN" w:bidi="zh-TW"/>
        </w:rPr>
        <w:t>考试</w:t>
      </w:r>
      <w:r>
        <w:rPr>
          <w:rFonts w:hint="eastAsia" w:ascii="仿宋_GB2312" w:hAnsi="仿宋_GB2312" w:eastAsia="仿宋_GB2312" w:cs="仿宋_GB2312"/>
          <w:color w:val="auto"/>
          <w:kern w:val="0"/>
          <w:sz w:val="32"/>
          <w:szCs w:val="32"/>
          <w:lang w:val="en-US" w:eastAsia="zh-CN" w:bidi="zh-TW"/>
        </w:rPr>
        <w:t>题库建设理论与实践研究</w:t>
      </w:r>
    </w:p>
    <w:p w14:paraId="36DB8E5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zh-TW"/>
        </w:rPr>
      </w:pPr>
      <w:r>
        <w:rPr>
          <w:rFonts w:hint="eastAsia" w:ascii="仿宋_GB2312" w:hAnsi="仿宋_GB2312" w:eastAsia="仿宋_GB2312" w:cs="仿宋_GB2312"/>
          <w:color w:val="auto"/>
          <w:kern w:val="0"/>
          <w:sz w:val="32"/>
          <w:szCs w:val="32"/>
          <w:lang w:val="en-US" w:eastAsia="zh" w:bidi="zh-TW"/>
        </w:rPr>
        <w:t>2</w:t>
      </w:r>
      <w:r>
        <w:rPr>
          <w:rFonts w:hint="eastAsia" w:ascii="仿宋_GB2312" w:hAnsi="仿宋_GB2312" w:eastAsia="仿宋_GB2312" w:cs="仿宋_GB2312"/>
          <w:color w:val="auto"/>
          <w:kern w:val="0"/>
          <w:sz w:val="32"/>
          <w:szCs w:val="32"/>
          <w:lang w:val="en-US" w:eastAsia="zh-CN" w:bidi="zh-TW"/>
        </w:rPr>
        <w:t>.</w:t>
      </w:r>
      <w:r>
        <w:rPr>
          <w:rFonts w:hint="default" w:ascii="仿宋_GB2312" w:hAnsi="仿宋_GB2312" w:eastAsia="仿宋_GB2312" w:cs="仿宋_GB2312"/>
          <w:color w:val="auto"/>
          <w:kern w:val="0"/>
          <w:sz w:val="32"/>
          <w:szCs w:val="32"/>
          <w:lang w:val="en-US" w:eastAsia="zh-CN" w:bidi="zh-TW"/>
        </w:rPr>
        <w:t>AI技术赋能教育考试的安全风险评估与应对策略</w:t>
      </w:r>
      <w:r>
        <w:rPr>
          <w:rFonts w:hint="eastAsia" w:ascii="仿宋_GB2312" w:hAnsi="仿宋_GB2312" w:eastAsia="仿宋_GB2312" w:cs="仿宋_GB2312"/>
          <w:color w:val="auto"/>
          <w:kern w:val="0"/>
          <w:sz w:val="32"/>
          <w:szCs w:val="32"/>
          <w:lang w:val="en-US" w:eastAsia="zh-CN" w:bidi="zh-TW"/>
        </w:rPr>
        <w:t>研究</w:t>
      </w:r>
    </w:p>
    <w:p w14:paraId="4A28F2E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zh-TW"/>
        </w:rPr>
      </w:pPr>
      <w:r>
        <w:rPr>
          <w:rFonts w:hint="eastAsia" w:ascii="仿宋_GB2312" w:hAnsi="仿宋_GB2312" w:eastAsia="仿宋_GB2312" w:cs="仿宋_GB2312"/>
          <w:color w:val="auto"/>
          <w:kern w:val="0"/>
          <w:sz w:val="32"/>
          <w:szCs w:val="32"/>
          <w:lang w:val="en-US" w:eastAsia="zh" w:bidi="zh-TW"/>
        </w:rPr>
        <w:t>3</w:t>
      </w:r>
      <w:r>
        <w:rPr>
          <w:rFonts w:hint="eastAsia" w:ascii="仿宋_GB2312" w:hAnsi="仿宋_GB2312" w:eastAsia="仿宋_GB2312" w:cs="仿宋_GB2312"/>
          <w:color w:val="auto"/>
          <w:kern w:val="0"/>
          <w:sz w:val="32"/>
          <w:szCs w:val="32"/>
          <w:lang w:val="en-US" w:eastAsia="zh-CN" w:bidi="zh-TW"/>
        </w:rPr>
        <w:t>.A</w:t>
      </w:r>
      <w:r>
        <w:rPr>
          <w:rFonts w:hint="default" w:ascii="仿宋_GB2312" w:hAnsi="仿宋_GB2312" w:eastAsia="仿宋_GB2312" w:cs="仿宋_GB2312"/>
          <w:color w:val="auto"/>
          <w:kern w:val="0"/>
          <w:sz w:val="32"/>
          <w:szCs w:val="32"/>
          <w:lang w:val="en-US" w:eastAsia="zh-CN" w:bidi="zh-TW"/>
        </w:rPr>
        <w:t>I</w:t>
      </w:r>
      <w:r>
        <w:rPr>
          <w:rFonts w:hint="eastAsia" w:ascii="仿宋_GB2312" w:hAnsi="仿宋_GB2312" w:eastAsia="仿宋_GB2312" w:cs="仿宋_GB2312"/>
          <w:color w:val="auto"/>
          <w:kern w:val="0"/>
          <w:sz w:val="32"/>
          <w:szCs w:val="32"/>
          <w:lang w:val="en-US" w:eastAsia="zh-CN" w:bidi="zh-TW"/>
        </w:rPr>
        <w:t>技术在计划编制校对的应用研究</w:t>
      </w:r>
    </w:p>
    <w:p w14:paraId="5FD7312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zh-TW"/>
        </w:rPr>
      </w:pPr>
      <w:r>
        <w:rPr>
          <w:rFonts w:hint="eastAsia" w:ascii="仿宋_GB2312" w:hAnsi="仿宋_GB2312" w:eastAsia="仿宋_GB2312" w:cs="仿宋_GB2312"/>
          <w:color w:val="auto"/>
          <w:kern w:val="0"/>
          <w:sz w:val="32"/>
          <w:szCs w:val="32"/>
          <w:lang w:val="en-US" w:eastAsia="zh" w:bidi="zh-TW"/>
        </w:rPr>
        <w:t>4.</w:t>
      </w:r>
      <w:r>
        <w:rPr>
          <w:rFonts w:hint="eastAsia" w:ascii="仿宋_GB2312" w:hAnsi="仿宋_GB2312" w:eastAsia="仿宋_GB2312" w:cs="仿宋_GB2312"/>
          <w:color w:val="auto"/>
          <w:kern w:val="0"/>
          <w:sz w:val="32"/>
          <w:szCs w:val="32"/>
          <w:lang w:val="en-US" w:eastAsia="zh-CN" w:bidi="zh-TW"/>
        </w:rPr>
        <w:t>A</w:t>
      </w:r>
      <w:r>
        <w:rPr>
          <w:rFonts w:hint="default" w:ascii="仿宋_GB2312" w:hAnsi="仿宋_GB2312" w:eastAsia="仿宋_GB2312" w:cs="仿宋_GB2312"/>
          <w:color w:val="auto"/>
          <w:kern w:val="0"/>
          <w:sz w:val="32"/>
          <w:szCs w:val="32"/>
          <w:lang w:val="en-US" w:eastAsia="zh-CN" w:bidi="zh-TW"/>
        </w:rPr>
        <w:t>I</w:t>
      </w:r>
      <w:r>
        <w:rPr>
          <w:rFonts w:hint="eastAsia" w:ascii="仿宋_GB2312" w:hAnsi="仿宋_GB2312" w:eastAsia="仿宋_GB2312" w:cs="仿宋_GB2312"/>
          <w:color w:val="auto"/>
          <w:kern w:val="0"/>
          <w:sz w:val="32"/>
          <w:szCs w:val="32"/>
          <w:lang w:val="en-US" w:eastAsia="zh-CN" w:bidi="zh-TW"/>
        </w:rPr>
        <w:t>技术在考试招生咨询服务中的应用研究</w:t>
      </w:r>
    </w:p>
    <w:p w14:paraId="3F01967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zh-TW"/>
        </w:rPr>
      </w:pPr>
      <w:r>
        <w:rPr>
          <w:rFonts w:hint="eastAsia" w:ascii="仿宋_GB2312" w:hAnsi="仿宋_GB2312" w:eastAsia="仿宋_GB2312" w:cs="仿宋_GB2312"/>
          <w:color w:val="auto"/>
          <w:kern w:val="0"/>
          <w:sz w:val="32"/>
          <w:szCs w:val="32"/>
          <w:lang w:val="en-US" w:eastAsia="zh" w:bidi="zh-TW"/>
        </w:rPr>
        <w:t>5</w:t>
      </w:r>
      <w:r>
        <w:rPr>
          <w:rFonts w:hint="eastAsia" w:ascii="仿宋_GB2312" w:hAnsi="仿宋_GB2312" w:eastAsia="仿宋_GB2312" w:cs="仿宋_GB2312"/>
          <w:color w:val="auto"/>
          <w:kern w:val="0"/>
          <w:sz w:val="32"/>
          <w:szCs w:val="32"/>
          <w:lang w:val="en-US" w:eastAsia="zh-CN" w:bidi="zh-TW"/>
        </w:rPr>
        <w:t>.</w:t>
      </w:r>
      <w:r>
        <w:rPr>
          <w:rFonts w:hint="default" w:ascii="仿宋_GB2312" w:hAnsi="仿宋_GB2312" w:eastAsia="仿宋_GB2312" w:cs="仿宋_GB2312"/>
          <w:color w:val="auto"/>
          <w:kern w:val="0"/>
          <w:sz w:val="32"/>
          <w:szCs w:val="32"/>
          <w:lang w:val="en-US" w:eastAsia="zh-CN" w:bidi="zh-TW"/>
        </w:rPr>
        <w:t>AIGC</w:t>
      </w:r>
      <w:r>
        <w:rPr>
          <w:rFonts w:hint="eastAsia" w:ascii="仿宋_GB2312" w:hAnsi="仿宋_GB2312" w:eastAsia="仿宋_GB2312" w:cs="仿宋_GB2312"/>
          <w:color w:val="auto"/>
          <w:kern w:val="0"/>
          <w:sz w:val="32"/>
          <w:szCs w:val="32"/>
          <w:lang w:val="en-US" w:eastAsia="zh-CN" w:bidi="zh-TW"/>
        </w:rPr>
        <w:t>技术在考试命题中的应用研究</w:t>
      </w:r>
    </w:p>
    <w:p w14:paraId="63FE348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zh-TW"/>
        </w:rPr>
      </w:pPr>
      <w:r>
        <w:rPr>
          <w:rFonts w:hint="eastAsia" w:ascii="仿宋_GB2312" w:hAnsi="仿宋_GB2312" w:eastAsia="仿宋_GB2312" w:cs="仿宋_GB2312"/>
          <w:color w:val="auto"/>
          <w:kern w:val="0"/>
          <w:sz w:val="32"/>
          <w:szCs w:val="32"/>
          <w:lang w:val="en-US" w:eastAsia="zh" w:bidi="zh-TW"/>
        </w:rPr>
        <w:t>6</w:t>
      </w:r>
      <w:r>
        <w:rPr>
          <w:rFonts w:hint="eastAsia" w:ascii="仿宋_GB2312" w:hAnsi="仿宋_GB2312" w:eastAsia="仿宋_GB2312" w:cs="仿宋_GB2312"/>
          <w:color w:val="auto"/>
          <w:kern w:val="0"/>
          <w:sz w:val="32"/>
          <w:szCs w:val="32"/>
          <w:lang w:val="en-US" w:eastAsia="zh-CN" w:bidi="zh-TW"/>
        </w:rPr>
        <w:t>.考试结果评价大模型的构建研究</w:t>
      </w:r>
    </w:p>
    <w:p w14:paraId="32BED12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zh-TW"/>
        </w:rPr>
      </w:pPr>
      <w:r>
        <w:rPr>
          <w:rFonts w:hint="eastAsia" w:ascii="仿宋_GB2312" w:hAnsi="仿宋_GB2312" w:eastAsia="仿宋_GB2312" w:cs="仿宋_GB2312"/>
          <w:color w:val="auto"/>
          <w:kern w:val="0"/>
          <w:sz w:val="32"/>
          <w:szCs w:val="32"/>
          <w:lang w:val="en-US" w:eastAsia="zh" w:bidi="zh-TW"/>
        </w:rPr>
        <w:t>7</w:t>
      </w:r>
      <w:r>
        <w:rPr>
          <w:rFonts w:hint="eastAsia" w:ascii="仿宋_GB2312" w:hAnsi="仿宋_GB2312" w:eastAsia="仿宋_GB2312" w:cs="仿宋_GB2312"/>
          <w:color w:val="auto"/>
          <w:kern w:val="0"/>
          <w:sz w:val="32"/>
          <w:szCs w:val="32"/>
          <w:lang w:val="en-US" w:eastAsia="zh-CN" w:bidi="zh-TW"/>
        </w:rPr>
        <w:t>.数字化背景下命题教师管理平台建设研究</w:t>
      </w:r>
    </w:p>
    <w:p w14:paraId="6503CA8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_GB2312" w:hAnsi="仿宋_GB2312" w:eastAsia="仿宋_GB2312" w:cs="仿宋_GB2312"/>
          <w:color w:val="auto"/>
          <w:kern w:val="0"/>
          <w:sz w:val="32"/>
          <w:szCs w:val="32"/>
          <w:lang w:val="en-US" w:eastAsia="zh-CN" w:bidi="zh-TW"/>
        </w:rPr>
      </w:pPr>
      <w:r>
        <w:rPr>
          <w:rFonts w:hint="eastAsia" w:ascii="仿宋_GB2312" w:hAnsi="仿宋_GB2312" w:eastAsia="仿宋_GB2312" w:cs="仿宋_GB2312"/>
          <w:color w:val="auto"/>
          <w:kern w:val="0"/>
          <w:sz w:val="32"/>
          <w:szCs w:val="32"/>
          <w:lang w:val="en-US" w:eastAsia="zh" w:bidi="zh-TW"/>
        </w:rPr>
        <w:t>8</w:t>
      </w:r>
      <w:r>
        <w:rPr>
          <w:rFonts w:hint="eastAsia" w:ascii="仿宋_GB2312" w:hAnsi="仿宋_GB2312" w:eastAsia="仿宋_GB2312" w:cs="仿宋_GB2312"/>
          <w:color w:val="auto"/>
          <w:kern w:val="0"/>
          <w:sz w:val="32"/>
          <w:szCs w:val="32"/>
          <w:lang w:val="en-US" w:eastAsia="zh-CN" w:bidi="zh-TW"/>
        </w:rPr>
        <w:t>.大模型赋能高校招生考试管理优化的创新路径研究</w:t>
      </w:r>
    </w:p>
    <w:p w14:paraId="02476B9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二、新时代教育考试改革与评价体系</w:t>
      </w:r>
    </w:p>
    <w:p w14:paraId="1581B10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zh-TW"/>
        </w:rPr>
      </w:pPr>
      <w:r>
        <w:rPr>
          <w:rFonts w:hint="eastAsia" w:ascii="仿宋_GB2312" w:hAnsi="仿宋_GB2312" w:eastAsia="仿宋_GB2312" w:cs="仿宋_GB2312"/>
          <w:color w:val="auto"/>
          <w:kern w:val="0"/>
          <w:sz w:val="32"/>
          <w:szCs w:val="32"/>
          <w:lang w:val="en-US" w:eastAsia="zh-CN" w:bidi="zh-TW"/>
        </w:rPr>
        <w:t>1.适应多元化人才选育的高考系统性改革策略研究</w:t>
      </w:r>
    </w:p>
    <w:p w14:paraId="5FA759D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zh-TW"/>
        </w:rPr>
      </w:pPr>
      <w:r>
        <w:rPr>
          <w:rFonts w:hint="eastAsia" w:ascii="仿宋_GB2312" w:hAnsi="仿宋_GB2312" w:eastAsia="仿宋_GB2312" w:cs="仿宋_GB2312"/>
          <w:color w:val="auto"/>
          <w:kern w:val="0"/>
          <w:sz w:val="32"/>
          <w:szCs w:val="32"/>
          <w:lang w:val="en-US" w:eastAsia="zh-CN" w:bidi="zh-TW"/>
        </w:rPr>
        <w:t>2.高考学科评价体系构建研究</w:t>
      </w:r>
    </w:p>
    <w:p w14:paraId="4E10C7A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zh-TW"/>
        </w:rPr>
      </w:pPr>
      <w:r>
        <w:rPr>
          <w:rFonts w:hint="eastAsia" w:ascii="仿宋_GB2312" w:hAnsi="仿宋_GB2312" w:eastAsia="仿宋_GB2312" w:cs="仿宋_GB2312"/>
          <w:color w:val="auto"/>
          <w:kern w:val="0"/>
          <w:sz w:val="32"/>
          <w:szCs w:val="32"/>
          <w:lang w:val="en-US" w:eastAsia="zh" w:bidi="zh-TW"/>
        </w:rPr>
        <w:t>3</w:t>
      </w:r>
      <w:r>
        <w:rPr>
          <w:rFonts w:hint="eastAsia" w:ascii="仿宋_GB2312" w:hAnsi="仿宋_GB2312" w:eastAsia="仿宋_GB2312" w:cs="仿宋_GB2312"/>
          <w:color w:val="auto"/>
          <w:kern w:val="0"/>
          <w:sz w:val="32"/>
          <w:szCs w:val="32"/>
          <w:lang w:val="en-US" w:eastAsia="zh-CN" w:bidi="zh-TW"/>
        </w:rPr>
        <w:t>.高考改革与中考改革协同研究</w:t>
      </w:r>
    </w:p>
    <w:p w14:paraId="4D6D5DB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zh-TW"/>
        </w:rPr>
      </w:pPr>
      <w:r>
        <w:rPr>
          <w:rFonts w:hint="eastAsia" w:ascii="仿宋_GB2312" w:hAnsi="仿宋_GB2312" w:eastAsia="仿宋_GB2312" w:cs="仿宋_GB2312"/>
          <w:color w:val="auto"/>
          <w:kern w:val="0"/>
          <w:sz w:val="32"/>
          <w:szCs w:val="32"/>
          <w:lang w:val="en-US" w:eastAsia="zh" w:bidi="zh-TW"/>
        </w:rPr>
        <w:t>4</w:t>
      </w:r>
      <w:r>
        <w:rPr>
          <w:rFonts w:hint="eastAsia" w:ascii="仿宋_GB2312" w:hAnsi="仿宋_GB2312" w:eastAsia="仿宋_GB2312" w:cs="仿宋_GB2312"/>
          <w:color w:val="auto"/>
          <w:kern w:val="0"/>
          <w:sz w:val="32"/>
          <w:szCs w:val="32"/>
          <w:lang w:val="en-US" w:eastAsia="zh-CN" w:bidi="zh-TW"/>
        </w:rPr>
        <w:t>.高中学业水平考试改革与创新</w:t>
      </w:r>
    </w:p>
    <w:p w14:paraId="0396565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zh-TW"/>
        </w:rPr>
      </w:pPr>
      <w:r>
        <w:rPr>
          <w:rFonts w:hint="eastAsia" w:ascii="仿宋_GB2312" w:hAnsi="仿宋_GB2312" w:eastAsia="仿宋_GB2312" w:cs="仿宋_GB2312"/>
          <w:color w:val="auto"/>
          <w:kern w:val="0"/>
          <w:sz w:val="32"/>
          <w:szCs w:val="32"/>
          <w:lang w:val="en-US" w:eastAsia="zh" w:bidi="zh-TW"/>
        </w:rPr>
        <w:t>5</w:t>
      </w:r>
      <w:r>
        <w:rPr>
          <w:rFonts w:hint="eastAsia" w:ascii="仿宋_GB2312" w:hAnsi="仿宋_GB2312" w:eastAsia="仿宋_GB2312" w:cs="仿宋_GB2312"/>
          <w:color w:val="auto"/>
          <w:kern w:val="0"/>
          <w:sz w:val="32"/>
          <w:szCs w:val="32"/>
          <w:lang w:val="en-US" w:eastAsia="zh-CN" w:bidi="zh-TW"/>
        </w:rPr>
        <w:t>.新时代高等教育自学考试助力终身学习服务体系构建的策略研究</w:t>
      </w:r>
    </w:p>
    <w:p w14:paraId="3EF2351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zh-TW"/>
        </w:rPr>
      </w:pPr>
      <w:r>
        <w:rPr>
          <w:rFonts w:hint="eastAsia" w:ascii="仿宋_GB2312" w:hAnsi="仿宋_GB2312" w:eastAsia="仿宋_GB2312" w:cs="仿宋_GB2312"/>
          <w:color w:val="auto"/>
          <w:kern w:val="0"/>
          <w:sz w:val="32"/>
          <w:szCs w:val="32"/>
          <w:lang w:val="en-US" w:eastAsia="zh" w:bidi="zh-TW"/>
        </w:rPr>
        <w:t>6</w:t>
      </w:r>
      <w:r>
        <w:rPr>
          <w:rFonts w:hint="eastAsia" w:ascii="仿宋_GB2312" w:hAnsi="仿宋_GB2312" w:eastAsia="仿宋_GB2312" w:cs="仿宋_GB2312"/>
          <w:color w:val="auto"/>
          <w:kern w:val="0"/>
          <w:sz w:val="32"/>
          <w:szCs w:val="32"/>
          <w:lang w:val="en-US" w:eastAsia="zh-CN" w:bidi="zh-TW"/>
        </w:rPr>
        <w:t>.教育强国建设背景下硕士研究生招生考试改革策略研究</w:t>
      </w:r>
    </w:p>
    <w:p w14:paraId="2B8C5C1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zh-TW"/>
        </w:rPr>
      </w:pPr>
      <w:r>
        <w:rPr>
          <w:rFonts w:hint="eastAsia" w:ascii="仿宋_GB2312" w:hAnsi="仿宋_GB2312" w:eastAsia="仿宋_GB2312" w:cs="仿宋_GB2312"/>
          <w:color w:val="auto"/>
          <w:kern w:val="0"/>
          <w:sz w:val="32"/>
          <w:szCs w:val="32"/>
          <w:lang w:val="en-US" w:eastAsia="zh" w:bidi="zh-TW"/>
        </w:rPr>
        <w:t>7</w:t>
      </w:r>
      <w:r>
        <w:rPr>
          <w:rFonts w:hint="eastAsia" w:ascii="仿宋_GB2312" w:hAnsi="仿宋_GB2312" w:eastAsia="仿宋_GB2312" w:cs="仿宋_GB2312"/>
          <w:color w:val="auto"/>
          <w:kern w:val="0"/>
          <w:sz w:val="32"/>
          <w:szCs w:val="32"/>
          <w:lang w:val="en-US" w:eastAsia="zh-CN" w:bidi="zh-TW"/>
        </w:rPr>
        <w:t>.基于PISA数学素养测评框架的小学生数学素养测评研究</w:t>
      </w:r>
    </w:p>
    <w:p w14:paraId="2DF19AF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zh-TW"/>
        </w:rPr>
      </w:pPr>
      <w:r>
        <w:rPr>
          <w:rFonts w:hint="eastAsia" w:ascii="仿宋_GB2312" w:hAnsi="仿宋_GB2312" w:eastAsia="仿宋_GB2312" w:cs="仿宋_GB2312"/>
          <w:color w:val="auto"/>
          <w:kern w:val="0"/>
          <w:sz w:val="32"/>
          <w:szCs w:val="32"/>
          <w:lang w:val="en-US" w:eastAsia="zh" w:bidi="zh-TW"/>
        </w:rPr>
        <w:t>8</w:t>
      </w:r>
      <w:r>
        <w:rPr>
          <w:rFonts w:hint="eastAsia" w:ascii="仿宋_GB2312" w:hAnsi="仿宋_GB2312" w:eastAsia="仿宋_GB2312" w:cs="仿宋_GB2312"/>
          <w:color w:val="auto"/>
          <w:kern w:val="0"/>
          <w:sz w:val="32"/>
          <w:szCs w:val="32"/>
          <w:lang w:val="en-US" w:eastAsia="zh-CN" w:bidi="zh-TW"/>
        </w:rPr>
        <w:t>.教师资格考试的实施与改革研究</w:t>
      </w:r>
    </w:p>
    <w:p w14:paraId="77ABCF4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仿宋_GB2312" w:hAnsi="仿宋_GB2312" w:eastAsia="仿宋_GB2312" w:cs="仿宋_GB2312"/>
          <w:color w:val="auto"/>
          <w:kern w:val="0"/>
          <w:sz w:val="32"/>
          <w:szCs w:val="32"/>
          <w:lang w:val="en-US" w:eastAsia="zh" w:bidi="zh-TW"/>
        </w:rPr>
        <w:t>9.中外教育考试比较研究</w:t>
      </w:r>
    </w:p>
    <w:p w14:paraId="44DC989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三、高校招生改革与创新实践</w:t>
      </w:r>
    </w:p>
    <w:p w14:paraId="78B2B4E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zh-TW"/>
        </w:rPr>
      </w:pPr>
      <w:r>
        <w:rPr>
          <w:rFonts w:hint="eastAsia" w:ascii="仿宋_GB2312" w:hAnsi="仿宋_GB2312" w:eastAsia="仿宋_GB2312" w:cs="仿宋_GB2312"/>
          <w:color w:val="auto"/>
          <w:kern w:val="0"/>
          <w:sz w:val="32"/>
          <w:szCs w:val="32"/>
          <w:lang w:val="en-US" w:eastAsia="zh-CN" w:bidi="zh-TW"/>
        </w:rPr>
        <w:t>1.高校招生计划编制优化研究</w:t>
      </w:r>
    </w:p>
    <w:p w14:paraId="693E868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zh-TW"/>
        </w:rPr>
      </w:pPr>
      <w:r>
        <w:rPr>
          <w:rFonts w:hint="eastAsia" w:ascii="仿宋_GB2312" w:hAnsi="仿宋_GB2312" w:eastAsia="仿宋_GB2312" w:cs="仿宋_GB2312"/>
          <w:color w:val="auto"/>
          <w:kern w:val="0"/>
          <w:sz w:val="32"/>
          <w:szCs w:val="32"/>
          <w:lang w:val="en-US" w:eastAsia="zh-CN" w:bidi="zh-TW"/>
        </w:rPr>
        <w:t>2.新高考下高校与中学人才选拔培养协同研究</w:t>
      </w:r>
    </w:p>
    <w:p w14:paraId="0FE01EA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zh-TW"/>
        </w:rPr>
      </w:pPr>
      <w:r>
        <w:rPr>
          <w:rFonts w:hint="eastAsia" w:ascii="仿宋_GB2312" w:hAnsi="仿宋_GB2312" w:eastAsia="仿宋_GB2312" w:cs="仿宋_GB2312"/>
          <w:color w:val="auto"/>
          <w:kern w:val="0"/>
          <w:sz w:val="32"/>
          <w:szCs w:val="32"/>
          <w:lang w:val="en-US" w:eastAsia="zh-CN" w:bidi="zh-TW"/>
        </w:rPr>
        <w:t>3.拔尖创新人才选拔实践研究</w:t>
      </w:r>
    </w:p>
    <w:p w14:paraId="3B4BE51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zh-TW"/>
        </w:rPr>
      </w:pPr>
      <w:r>
        <w:rPr>
          <w:rFonts w:hint="eastAsia" w:ascii="仿宋_GB2312" w:hAnsi="仿宋_GB2312" w:eastAsia="仿宋_GB2312" w:cs="仿宋_GB2312"/>
          <w:color w:val="auto"/>
          <w:kern w:val="0"/>
          <w:sz w:val="32"/>
          <w:szCs w:val="32"/>
          <w:lang w:val="en-US" w:eastAsia="zh" w:bidi="zh-TW"/>
        </w:rPr>
        <w:t>4.</w:t>
      </w:r>
      <w:r>
        <w:rPr>
          <w:rFonts w:hint="eastAsia" w:ascii="仿宋_GB2312" w:hAnsi="仿宋_GB2312" w:eastAsia="仿宋_GB2312" w:cs="仿宋_GB2312"/>
          <w:color w:val="auto"/>
          <w:kern w:val="0"/>
          <w:sz w:val="32"/>
          <w:szCs w:val="32"/>
          <w:lang w:val="en-US" w:eastAsia="zh-CN" w:bidi="zh-TW"/>
        </w:rPr>
        <w:t>艺术体育等相关专业招录的创新实践</w:t>
      </w:r>
    </w:p>
    <w:p w14:paraId="117091E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zh-TW"/>
        </w:rPr>
      </w:pPr>
      <w:r>
        <w:rPr>
          <w:rFonts w:hint="eastAsia" w:ascii="仿宋_GB2312" w:hAnsi="仿宋_GB2312" w:eastAsia="仿宋_GB2312" w:cs="仿宋_GB2312"/>
          <w:color w:val="auto"/>
          <w:kern w:val="0"/>
          <w:sz w:val="32"/>
          <w:szCs w:val="32"/>
          <w:lang w:val="en-US" w:eastAsia="zh" w:bidi="zh-TW"/>
        </w:rPr>
        <w:t>5</w:t>
      </w:r>
      <w:r>
        <w:rPr>
          <w:rFonts w:hint="eastAsia" w:ascii="仿宋_GB2312" w:hAnsi="仿宋_GB2312" w:eastAsia="仿宋_GB2312" w:cs="仿宋_GB2312"/>
          <w:color w:val="auto"/>
          <w:kern w:val="0"/>
          <w:sz w:val="32"/>
          <w:szCs w:val="32"/>
          <w:lang w:val="en-US" w:eastAsia="zh-CN" w:bidi="zh-TW"/>
        </w:rPr>
        <w:t>.农村专项计划学生与水平相当非农村专项计划学生的本科阶段发展变化研究</w:t>
      </w:r>
      <w:r>
        <w:rPr>
          <w:rFonts w:hint="eastAsia" w:ascii="仿宋_GB2312" w:hAnsi="仿宋_GB2312" w:eastAsia="仿宋_GB2312" w:cs="仿宋_GB2312"/>
          <w:color w:val="auto"/>
          <w:kern w:val="0"/>
          <w:sz w:val="32"/>
          <w:szCs w:val="32"/>
          <w:lang w:val="en-US" w:eastAsia="zh" w:bidi="zh-TW"/>
        </w:rPr>
        <w:t>——</w:t>
      </w:r>
      <w:r>
        <w:rPr>
          <w:rFonts w:hint="eastAsia" w:ascii="仿宋_GB2312" w:hAnsi="仿宋_GB2312" w:eastAsia="仿宋_GB2312" w:cs="仿宋_GB2312"/>
          <w:color w:val="auto"/>
          <w:kern w:val="0"/>
          <w:sz w:val="32"/>
          <w:szCs w:val="32"/>
          <w:lang w:val="en-US" w:eastAsia="zh-CN" w:bidi="zh-TW"/>
        </w:rPr>
        <w:t>基于省内不同层次高校</w:t>
      </w:r>
    </w:p>
    <w:p w14:paraId="52B1558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zh-TW"/>
        </w:rPr>
      </w:pPr>
      <w:r>
        <w:rPr>
          <w:rFonts w:hint="eastAsia" w:ascii="仿宋_GB2312" w:hAnsi="仿宋_GB2312" w:eastAsia="仿宋_GB2312" w:cs="仿宋_GB2312"/>
          <w:color w:val="auto"/>
          <w:kern w:val="0"/>
          <w:sz w:val="32"/>
          <w:szCs w:val="32"/>
          <w:lang w:val="en-US" w:eastAsia="zh" w:bidi="zh-TW"/>
        </w:rPr>
        <w:t>6</w:t>
      </w:r>
      <w:r>
        <w:rPr>
          <w:rFonts w:hint="eastAsia" w:ascii="仿宋_GB2312" w:hAnsi="仿宋_GB2312" w:eastAsia="仿宋_GB2312" w:cs="仿宋_GB2312"/>
          <w:color w:val="auto"/>
          <w:kern w:val="0"/>
          <w:sz w:val="32"/>
          <w:szCs w:val="32"/>
          <w:lang w:val="en-US" w:eastAsia="zh-CN" w:bidi="zh-TW"/>
        </w:rPr>
        <w:t>.定向就业等特殊就业政策专业的高考录取分数与当地经济水平、社会就业率的时空研究</w:t>
      </w:r>
    </w:p>
    <w:p w14:paraId="3B489E9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eastAsia" w:ascii="仿宋_GB2312" w:hAnsi="仿宋_GB2312" w:eastAsia="仿宋_GB2312" w:cs="仿宋_GB2312"/>
          <w:color w:val="auto"/>
          <w:kern w:val="0"/>
          <w:sz w:val="32"/>
          <w:szCs w:val="32"/>
          <w:lang w:val="en-US" w:eastAsia="zh" w:bidi="zh-TW"/>
        </w:rPr>
        <w:t>7</w:t>
      </w:r>
      <w:r>
        <w:rPr>
          <w:rFonts w:hint="eastAsia" w:ascii="仿宋_GB2312" w:hAnsi="仿宋_GB2312" w:eastAsia="仿宋_GB2312" w:cs="仿宋_GB2312"/>
          <w:color w:val="auto"/>
          <w:kern w:val="0"/>
          <w:sz w:val="32"/>
          <w:szCs w:val="32"/>
          <w:lang w:val="en-US" w:eastAsia="zh-CN" w:bidi="zh-TW"/>
        </w:rPr>
        <w:t>.新时代交叉学科高质量工程博士招生考试途径研究</w:t>
      </w:r>
    </w:p>
    <w:p w14:paraId="7596991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四、现代化教育考试机构建设实践研究</w:t>
      </w:r>
    </w:p>
    <w:p w14:paraId="6693044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zh-TW"/>
        </w:rPr>
      </w:pPr>
      <w:r>
        <w:rPr>
          <w:rFonts w:hint="eastAsia" w:ascii="仿宋_GB2312" w:hAnsi="仿宋_GB2312" w:eastAsia="仿宋_GB2312" w:cs="仿宋_GB2312"/>
          <w:color w:val="auto"/>
          <w:kern w:val="0"/>
          <w:sz w:val="32"/>
          <w:szCs w:val="32"/>
          <w:lang w:val="en-US" w:eastAsia="zh" w:bidi="zh-TW"/>
        </w:rPr>
        <w:t>1</w:t>
      </w:r>
      <w:r>
        <w:rPr>
          <w:rFonts w:hint="eastAsia" w:ascii="仿宋_GB2312" w:hAnsi="仿宋_GB2312" w:eastAsia="仿宋_GB2312" w:cs="仿宋_GB2312"/>
          <w:color w:val="auto"/>
          <w:kern w:val="0"/>
          <w:sz w:val="32"/>
          <w:szCs w:val="32"/>
          <w:lang w:val="en-US" w:eastAsia="zh-CN" w:bidi="zh-TW"/>
        </w:rPr>
        <w:t>.高中学业水平考试组织与实施优化研究</w:t>
      </w:r>
    </w:p>
    <w:p w14:paraId="29F4214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zh-TW"/>
        </w:rPr>
      </w:pPr>
      <w:r>
        <w:rPr>
          <w:rFonts w:hint="eastAsia" w:ascii="仿宋_GB2312" w:hAnsi="仿宋_GB2312" w:eastAsia="仿宋_GB2312" w:cs="仿宋_GB2312"/>
          <w:color w:val="auto"/>
          <w:kern w:val="0"/>
          <w:sz w:val="32"/>
          <w:szCs w:val="32"/>
          <w:lang w:val="en-US" w:eastAsia="zh" w:bidi="zh-TW"/>
        </w:rPr>
        <w:t>2</w:t>
      </w:r>
      <w:r>
        <w:rPr>
          <w:rFonts w:hint="eastAsia" w:ascii="仿宋_GB2312" w:hAnsi="仿宋_GB2312" w:eastAsia="仿宋_GB2312" w:cs="仿宋_GB2312"/>
          <w:color w:val="auto"/>
          <w:kern w:val="0"/>
          <w:sz w:val="32"/>
          <w:szCs w:val="32"/>
          <w:lang w:val="en-US" w:eastAsia="zh-CN" w:bidi="zh-TW"/>
        </w:rPr>
        <w:t>.高考考务管理集成优化研究</w:t>
      </w:r>
    </w:p>
    <w:p w14:paraId="2112A3C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zh-TW"/>
        </w:rPr>
      </w:pPr>
      <w:r>
        <w:rPr>
          <w:rFonts w:hint="eastAsia" w:ascii="仿宋_GB2312" w:hAnsi="仿宋_GB2312" w:eastAsia="仿宋_GB2312" w:cs="仿宋_GB2312"/>
          <w:color w:val="auto"/>
          <w:kern w:val="0"/>
          <w:sz w:val="32"/>
          <w:szCs w:val="32"/>
          <w:lang w:val="en-US" w:eastAsia="zh" w:bidi="zh-TW"/>
        </w:rPr>
        <w:t>3</w:t>
      </w:r>
      <w:r>
        <w:rPr>
          <w:rFonts w:hint="eastAsia" w:ascii="仿宋_GB2312" w:hAnsi="仿宋_GB2312" w:eastAsia="仿宋_GB2312" w:cs="仿宋_GB2312"/>
          <w:color w:val="auto"/>
          <w:kern w:val="0"/>
          <w:sz w:val="32"/>
          <w:szCs w:val="32"/>
          <w:lang w:val="en-US" w:eastAsia="zh-CN" w:bidi="zh-TW"/>
        </w:rPr>
        <w:t>.考试应急管理体系研究</w:t>
      </w:r>
    </w:p>
    <w:p w14:paraId="2E1E7610">
      <w:pPr>
        <w:ind w:firstLine="640" w:firstLineChars="200"/>
      </w:pPr>
      <w:bookmarkStart w:id="0" w:name="_GoBack"/>
      <w:bookmarkEnd w:id="0"/>
      <w:r>
        <w:rPr>
          <w:rFonts w:hint="eastAsia" w:ascii="仿宋_GB2312" w:hAnsi="仿宋_GB2312" w:eastAsia="仿宋_GB2312" w:cs="仿宋_GB2312"/>
          <w:color w:val="auto"/>
          <w:kern w:val="0"/>
          <w:sz w:val="32"/>
          <w:szCs w:val="32"/>
          <w:lang w:val="en-US" w:eastAsia="zh" w:bidi="zh-TW"/>
        </w:rPr>
        <w:t>4</w:t>
      </w:r>
      <w:r>
        <w:rPr>
          <w:rFonts w:hint="eastAsia" w:ascii="仿宋_GB2312" w:hAnsi="仿宋_GB2312" w:eastAsia="仿宋_GB2312" w:cs="仿宋_GB2312"/>
          <w:color w:val="auto"/>
          <w:kern w:val="0"/>
          <w:sz w:val="32"/>
          <w:szCs w:val="32"/>
          <w:lang w:val="en-US" w:eastAsia="zh-CN" w:bidi="zh-TW"/>
        </w:rPr>
        <w:t>.新形势下考试违规处理流程规范化研究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9C4E83D-54F0-42F4-A597-7F7F57CFF73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BC259B34-4114-47BC-A1E1-C1F25A7C21F8}"/>
  </w:font>
  <w:font w:name="方正小标宋简体">
    <w:panose1 w:val="02000000000000000000"/>
    <w:charset w:val="86"/>
    <w:family w:val="auto"/>
    <w:pitch w:val="default"/>
    <w:sig w:usb0="00000001" w:usb1="080E0000" w:usb2="00000000" w:usb3="00000000" w:csb0="00040000" w:csb1="00000000"/>
    <w:embedRegular r:id="rId3" w:fontKey="{AC9687C1-9800-48E5-A811-7F1B4BBEA5F6}"/>
  </w:font>
  <w:font w:name="仿宋_GB2312">
    <w:panose1 w:val="02010609030101010101"/>
    <w:charset w:val="86"/>
    <w:family w:val="modern"/>
    <w:pitch w:val="default"/>
    <w:sig w:usb0="00000001" w:usb1="080E0000" w:usb2="00000000" w:usb3="00000000" w:csb0="00040000" w:csb1="00000000"/>
    <w:embedRegular r:id="rId4" w:fontKey="{1581CA3C-9CAA-402E-A4FD-2876F08B965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1YjgwNzZhYjM5YWE3ZTBkMzEzNDZkMGRlMGFmM2IifQ=="/>
  </w:docVars>
  <w:rsids>
    <w:rsidRoot w:val="57D5428E"/>
    <w:rsid w:val="285F5C4A"/>
    <w:rsid w:val="57D54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12</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2024-10-12T09:13:00Z</dcterms:created>
  <dc:creator>Shen Chen</dc:creator>
  <cp:lastModifiedBy>Shen Chen</cp:lastModifiedBy>
  <dcterms:modified xsi:type="dcterms:W3CDTF">2024-10-12T09:26:52Z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7763C84B22F244EFB4FAC74B6DAF973C_11</vt:lpwstr>
  </property>
</Properties>
</file>